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中小企业平衡计分卡简化模板（10个核心指标）</w:t>
      </w:r>
    </w:p>
    <w:p>
      <w:pPr>
        <w:jc w:val="center"/>
      </w:pPr>
      <w:r>
        <w:t>版本：V1.0 | 日期：2026-03-01 | 作者：卓越质量智库</w:t>
      </w:r>
    </w:p>
    <w:p>
      <w:r>
        <w:br w:type="page"/>
      </w:r>
    </w:p>
    <w:p>
      <w:pPr>
        <w:pStyle w:val="Heading1"/>
      </w:pPr>
      <w:r>
        <w:t>一、设计思路</w:t>
      </w:r>
    </w:p>
    <w:p>
      <w:r>
        <w:t>本模板聚焦中小企业核心诉求，简化为10个核心指标，轻量化落地平衡计分卡：</w:t>
      </w:r>
    </w:p>
    <w:p>
      <w:r>
        <w:t>• 财务维度：2个核心指标</w:t>
      </w:r>
    </w:p>
    <w:p>
      <w:r>
        <w:t>• 客户维度：2个核心指标</w:t>
      </w:r>
    </w:p>
    <w:p>
      <w:r>
        <w:t>• 内部流程：3个核心指标</w:t>
      </w:r>
    </w:p>
    <w:p>
      <w:r>
        <w:t>• 学习与成长：3个核心指标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维度</w:t>
            </w:r>
          </w:p>
        </w:tc>
        <w:tc>
          <w:tcPr>
            <w:tcW w:type="dxa" w:w="2160"/>
          </w:tcPr>
          <w:p>
            <w:r>
              <w:t>战略目标</w:t>
            </w:r>
          </w:p>
        </w:tc>
        <w:tc>
          <w:tcPr>
            <w:tcW w:type="dxa" w:w="2160"/>
          </w:tcPr>
          <w:p>
            <w:r>
              <w:t>关键绩效指标（KPI）</w:t>
            </w:r>
          </w:p>
        </w:tc>
        <w:tc>
          <w:tcPr>
            <w:tcW w:type="dxa" w:w="2160"/>
          </w:tcPr>
          <w:p>
            <w:r>
              <w:t>目标值</w:t>
            </w:r>
          </w:p>
        </w:tc>
      </w:tr>
      <w:tr>
        <w:tc>
          <w:tcPr>
            <w:tcW w:type="dxa" w:w="2160"/>
          </w:tcPr>
          <w:p>
            <w:r>
              <w:t>财务</w:t>
            </w:r>
          </w:p>
        </w:tc>
        <w:tc>
          <w:tcPr>
            <w:tcW w:type="dxa" w:w="2160"/>
          </w:tcPr>
          <w:p>
            <w:r>
              <w:t>提升盈利能力</w:t>
            </w:r>
          </w:p>
        </w:tc>
        <w:tc>
          <w:tcPr>
            <w:tcW w:type="dxa" w:w="2160"/>
          </w:tcPr>
          <w:p>
            <w:r>
              <w:t>净利润率、现金流健康度</w:t>
            </w:r>
          </w:p>
        </w:tc>
        <w:tc>
          <w:tcPr>
            <w:tcW w:type="dxa" w:w="2160"/>
          </w:tcPr>
          <w:p>
            <w:r>
              <w:t>净利润率≥10%</w:t>
            </w:r>
          </w:p>
        </w:tc>
      </w:tr>
      <w:tr>
        <w:tc>
          <w:tcPr>
            <w:tcW w:type="dxa" w:w="2160"/>
          </w:tcPr>
          <w:p>
            <w:r>
              <w:t>客户</w:t>
            </w:r>
          </w:p>
        </w:tc>
        <w:tc>
          <w:tcPr>
            <w:tcW w:type="dxa" w:w="2160"/>
          </w:tcPr>
          <w:p>
            <w:r>
              <w:t>提升客户满意度</w:t>
            </w:r>
          </w:p>
        </w:tc>
        <w:tc>
          <w:tcPr>
            <w:tcW w:type="dxa" w:w="2160"/>
          </w:tcPr>
          <w:p>
            <w:r>
              <w:t>客户满意度、客户流失率</w:t>
            </w:r>
          </w:p>
        </w:tc>
        <w:tc>
          <w:tcPr>
            <w:tcW w:type="dxa" w:w="2160"/>
          </w:tcPr>
          <w:p>
            <w:r>
              <w:t>客户满意度≥90%</w:t>
            </w:r>
          </w:p>
        </w:tc>
      </w:tr>
      <w:tr>
        <w:tc>
          <w:tcPr>
            <w:tcW w:type="dxa" w:w="2160"/>
          </w:tcPr>
          <w:p>
            <w:r>
              <w:t>内部流程</w:t>
            </w:r>
          </w:p>
        </w:tc>
        <w:tc>
          <w:tcPr>
            <w:tcW w:type="dxa" w:w="2160"/>
          </w:tcPr>
          <w:p>
            <w:r>
              <w:t>提升运营效率</w:t>
            </w:r>
          </w:p>
        </w:tc>
        <w:tc>
          <w:tcPr>
            <w:tcW w:type="dxa" w:w="2160"/>
          </w:tcPr>
          <w:p>
            <w:r>
              <w:t>订单交付周期、库存周转率</w:t>
            </w:r>
          </w:p>
        </w:tc>
        <w:tc>
          <w:tcPr>
            <w:tcW w:type="dxa" w:w="2160"/>
          </w:tcPr>
          <w:p>
            <w:r>
              <w:t>交付周期≤3天</w:t>
            </w:r>
          </w:p>
        </w:tc>
      </w:tr>
      <w:tr>
        <w:tc>
          <w:tcPr>
            <w:tcW w:type="dxa" w:w="2160"/>
          </w:tcPr>
          <w:p>
            <w:r>
              <w:t>学习与成长</w:t>
            </w:r>
          </w:p>
        </w:tc>
        <w:tc>
          <w:tcPr>
            <w:tcW w:type="dxa" w:w="2160"/>
          </w:tcPr>
          <w:p>
            <w:r>
              <w:t>提升团队能力</w:t>
            </w:r>
          </w:p>
        </w:tc>
        <w:tc>
          <w:tcPr>
            <w:tcW w:type="dxa" w:w="2160"/>
          </w:tcPr>
          <w:p>
            <w:r>
              <w:t>员工培训时长、核心人才保留</w:t>
            </w:r>
          </w:p>
        </w:tc>
        <w:tc>
          <w:tcPr>
            <w:tcW w:type="dxa" w:w="2160"/>
          </w:tcPr>
          <w:p>
            <w:r>
              <w:t>培训时长≥20小时/人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